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9CB" w:rsidRPr="0064059B" w:rsidRDefault="007F6CE3" w:rsidP="00D546FD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64059B">
        <w:rPr>
          <w:rFonts w:asciiTheme="majorBidi" w:hAnsiTheme="majorBidi" w:cstheme="majorBidi"/>
          <w:b/>
          <w:bCs/>
          <w:color w:val="FF0000"/>
        </w:rPr>
        <w:t>Compte-rendu Séminaire Doctorants Mosaïques – 20 novembre 2020</w:t>
      </w:r>
    </w:p>
    <w:p w:rsidR="007F6CE3" w:rsidRPr="00D546FD" w:rsidRDefault="007F6CE3" w:rsidP="00D546FD">
      <w:pPr>
        <w:jc w:val="both"/>
        <w:rPr>
          <w:rFonts w:asciiTheme="majorBidi" w:hAnsiTheme="majorBidi" w:cstheme="majorBidi"/>
        </w:rPr>
      </w:pPr>
    </w:p>
    <w:p w:rsidR="007F6CE3" w:rsidRDefault="00D546FD" w:rsidP="00D546FD">
      <w:pPr>
        <w:jc w:val="both"/>
        <w:rPr>
          <w:rFonts w:asciiTheme="majorBidi" w:hAnsiTheme="majorBidi" w:cstheme="majorBidi"/>
        </w:rPr>
      </w:pPr>
      <w:r w:rsidRPr="00D546FD">
        <w:rPr>
          <w:rFonts w:asciiTheme="majorBidi" w:hAnsiTheme="majorBidi" w:cstheme="majorBidi"/>
        </w:rPr>
        <w:t>Rédigé par Nicolas et Manon</w:t>
      </w:r>
    </w:p>
    <w:p w:rsidR="00D546FD" w:rsidRPr="0064059B" w:rsidRDefault="00D546FD" w:rsidP="00D546FD">
      <w:pPr>
        <w:jc w:val="both"/>
        <w:rPr>
          <w:rFonts w:asciiTheme="majorBidi" w:hAnsiTheme="majorBidi" w:cstheme="majorBidi"/>
          <w:b/>
          <w:bCs/>
        </w:rPr>
      </w:pPr>
    </w:p>
    <w:p w:rsidR="00D546FD" w:rsidRPr="0064059B" w:rsidRDefault="00D546FD" w:rsidP="00D546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4059B">
        <w:rPr>
          <w:rFonts w:asciiTheme="majorBidi" w:hAnsiTheme="majorBidi" w:cstheme="majorBidi"/>
          <w:b/>
          <w:bCs/>
        </w:rPr>
        <w:t>Comment aborder l’écriture de la thèse ? par Nicolas</w:t>
      </w:r>
    </w:p>
    <w:p w:rsidR="00176F2C" w:rsidRDefault="00176F2C" w:rsidP="0064059B">
      <w:pPr>
        <w:jc w:val="both"/>
        <w:rPr>
          <w:rFonts w:asciiTheme="majorBidi" w:hAnsiTheme="majorBidi" w:cstheme="majorBidi"/>
        </w:rPr>
      </w:pPr>
    </w:p>
    <w:p w:rsidR="0064059B" w:rsidRDefault="0064059B" w:rsidP="0064059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Quelques pistes issues des échanges :</w:t>
      </w:r>
    </w:p>
    <w:p w:rsidR="0044119E" w:rsidRDefault="00015D21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l’écriture</w:t>
      </w:r>
      <w:proofErr w:type="gramEnd"/>
      <w:r>
        <w:rPr>
          <w:rFonts w:asciiTheme="majorBidi" w:hAnsiTheme="majorBidi" w:cstheme="majorBidi"/>
        </w:rPr>
        <w:t xml:space="preserve"> de la thèse comme un chantier permanent</w:t>
      </w:r>
      <w:r w:rsidR="005A24AC">
        <w:rPr>
          <w:rFonts w:asciiTheme="majorBidi" w:hAnsiTheme="majorBidi" w:cstheme="majorBidi"/>
        </w:rPr>
        <w:t>, un processus itératif, fait de va et vient</w:t>
      </w:r>
    </w:p>
    <w:p w:rsidR="00015D21" w:rsidRDefault="00015D21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c’est</w:t>
      </w:r>
      <w:proofErr w:type="gramEnd"/>
      <w:r>
        <w:rPr>
          <w:rFonts w:asciiTheme="majorBidi" w:hAnsiTheme="majorBidi" w:cstheme="majorBidi"/>
        </w:rPr>
        <w:t xml:space="preserve"> en écrivant que l’on apprend</w:t>
      </w:r>
      <w:r w:rsidR="0044119E">
        <w:rPr>
          <w:rFonts w:asciiTheme="majorBidi" w:hAnsiTheme="majorBidi" w:cstheme="majorBidi"/>
        </w:rPr>
        <w:t xml:space="preserve"> à écrir</w:t>
      </w:r>
      <w:r w:rsidR="005A24AC">
        <w:rPr>
          <w:rFonts w:asciiTheme="majorBidi" w:hAnsiTheme="majorBidi" w:cstheme="majorBidi"/>
        </w:rPr>
        <w:t>e et que l’on comprend les enjeux de la thèse</w:t>
      </w:r>
    </w:p>
    <w:p w:rsidR="00015D21" w:rsidRDefault="00015D21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de</w:t>
      </w:r>
      <w:proofErr w:type="gramEnd"/>
      <w:r>
        <w:rPr>
          <w:rFonts w:asciiTheme="majorBidi" w:hAnsiTheme="majorBidi" w:cstheme="majorBidi"/>
        </w:rPr>
        <w:t xml:space="preserve"> l’importance de la lecture</w:t>
      </w:r>
      <w:r w:rsidR="0044119E">
        <w:rPr>
          <w:rFonts w:asciiTheme="majorBidi" w:hAnsiTheme="majorBidi" w:cstheme="majorBidi"/>
        </w:rPr>
        <w:t xml:space="preserve"> et relecture</w:t>
      </w:r>
      <w:r>
        <w:rPr>
          <w:rFonts w:asciiTheme="majorBidi" w:hAnsiTheme="majorBidi" w:cstheme="majorBidi"/>
        </w:rPr>
        <w:t xml:space="preserve"> </w:t>
      </w:r>
      <w:r w:rsidR="00176F2C">
        <w:rPr>
          <w:rFonts w:asciiTheme="majorBidi" w:hAnsiTheme="majorBidi" w:cstheme="majorBidi"/>
        </w:rPr>
        <w:t xml:space="preserve">de sa bibliographie, </w:t>
      </w:r>
      <w:r>
        <w:rPr>
          <w:rFonts w:asciiTheme="majorBidi" w:hAnsiTheme="majorBidi" w:cstheme="majorBidi"/>
        </w:rPr>
        <w:t>en même temps que la rédaction</w:t>
      </w:r>
    </w:p>
    <w:p w:rsidR="005A24AC" w:rsidRDefault="005A24A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une</w:t>
      </w:r>
      <w:proofErr w:type="gramEnd"/>
      <w:r>
        <w:rPr>
          <w:rFonts w:asciiTheme="majorBidi" w:hAnsiTheme="majorBidi" w:cstheme="majorBidi"/>
        </w:rPr>
        <w:t xml:space="preserve"> fois le plan de thèse réalisé on sélectionne mieux les lectures</w:t>
      </w:r>
    </w:p>
    <w:p w:rsidR="000D16D8" w:rsidRPr="000D16D8" w:rsidRDefault="000D16D8" w:rsidP="000D16D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plaidoyer</w:t>
      </w:r>
      <w:proofErr w:type="gramEnd"/>
      <w:r>
        <w:rPr>
          <w:rFonts w:asciiTheme="majorBidi" w:hAnsiTheme="majorBidi" w:cstheme="majorBidi"/>
        </w:rPr>
        <w:t xml:space="preserve"> pour une double rédaction de la thèse</w:t>
      </w:r>
    </w:p>
    <w:p w:rsidR="00015D21" w:rsidRDefault="00176F2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</w:t>
      </w:r>
      <w:r w:rsidR="0044119E" w:rsidRPr="0044119E">
        <w:rPr>
          <w:rFonts w:asciiTheme="majorBidi" w:hAnsiTheme="majorBidi" w:cstheme="majorBidi"/>
          <w:lang w:val="en-US"/>
        </w:rPr>
        <w:t xml:space="preserve">ire </w:t>
      </w:r>
      <w:r w:rsidR="0044119E" w:rsidRPr="0044119E">
        <w:rPr>
          <w:rFonts w:asciiTheme="majorBidi" w:hAnsiTheme="majorBidi" w:cstheme="majorBidi"/>
          <w:i/>
          <w:iCs/>
          <w:lang w:val="en-US"/>
        </w:rPr>
        <w:t xml:space="preserve">Outsiders </w:t>
      </w:r>
      <w:r w:rsidR="0044119E" w:rsidRPr="0044119E">
        <w:rPr>
          <w:rFonts w:asciiTheme="majorBidi" w:hAnsiTheme="majorBidi" w:cstheme="majorBidi"/>
          <w:lang w:val="en-US"/>
        </w:rPr>
        <w:t>de Howard</w:t>
      </w:r>
      <w:r w:rsidR="0044119E">
        <w:rPr>
          <w:rFonts w:asciiTheme="majorBidi" w:hAnsiTheme="majorBidi" w:cstheme="majorBidi"/>
          <w:lang w:val="en-US"/>
        </w:rPr>
        <w:t xml:space="preserve"> S.</w:t>
      </w:r>
      <w:r w:rsidR="0044119E" w:rsidRPr="0044119E">
        <w:rPr>
          <w:rFonts w:asciiTheme="majorBidi" w:hAnsiTheme="majorBidi" w:cstheme="majorBidi"/>
          <w:lang w:val="en-US"/>
        </w:rPr>
        <w:t xml:space="preserve"> Bec</w:t>
      </w:r>
      <w:r w:rsidR="0044119E">
        <w:rPr>
          <w:rFonts w:asciiTheme="majorBidi" w:hAnsiTheme="majorBidi" w:cstheme="majorBidi"/>
          <w:lang w:val="en-US"/>
        </w:rPr>
        <w:t>ker</w:t>
      </w:r>
    </w:p>
    <w:p w:rsidR="00176F2C" w:rsidRDefault="00176F2C" w:rsidP="00176F2C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c’est</w:t>
      </w:r>
      <w:proofErr w:type="gramEnd"/>
      <w:r>
        <w:rPr>
          <w:rFonts w:asciiTheme="majorBidi" w:hAnsiTheme="majorBidi" w:cstheme="majorBidi"/>
        </w:rPr>
        <w:t xml:space="preserve"> en écrivant que l’on parvient progressivement à se positionner scientifiquement </w:t>
      </w:r>
      <w:r w:rsidR="005A24AC">
        <w:rPr>
          <w:rFonts w:asciiTheme="majorBidi" w:hAnsiTheme="majorBidi" w:cstheme="majorBidi"/>
        </w:rPr>
        <w:t>et à mieux comprendre la délimitation des champs scientifiques</w:t>
      </w:r>
    </w:p>
    <w:p w:rsidR="00176F2C" w:rsidRPr="00176F2C" w:rsidRDefault="00176F2C" w:rsidP="00176F2C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écrire</w:t>
      </w:r>
      <w:proofErr w:type="gramEnd"/>
      <w:r>
        <w:rPr>
          <w:rFonts w:asciiTheme="majorBidi" w:hAnsiTheme="majorBidi" w:cstheme="majorBidi"/>
        </w:rPr>
        <w:t xml:space="preserve"> pour mieux assimiler son terrain</w:t>
      </w:r>
    </w:p>
    <w:p w:rsidR="0044119E" w:rsidRDefault="00176F2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l</w:t>
      </w:r>
      <w:r w:rsidR="0044119E" w:rsidRPr="0044119E">
        <w:rPr>
          <w:rFonts w:asciiTheme="majorBidi" w:hAnsiTheme="majorBidi" w:cstheme="majorBidi"/>
        </w:rPr>
        <w:t>e</w:t>
      </w:r>
      <w:proofErr w:type="gramEnd"/>
      <w:r w:rsidR="0044119E" w:rsidRPr="0044119E">
        <w:rPr>
          <w:rFonts w:asciiTheme="majorBidi" w:hAnsiTheme="majorBidi" w:cstheme="majorBidi"/>
        </w:rPr>
        <w:t xml:space="preserve"> journal de terrain comme entrée</w:t>
      </w:r>
      <w:r w:rsidR="0044119E">
        <w:rPr>
          <w:rFonts w:asciiTheme="majorBidi" w:hAnsiTheme="majorBidi" w:cstheme="majorBidi"/>
        </w:rPr>
        <w:t xml:space="preserve"> possible</w:t>
      </w:r>
      <w:r w:rsidR="0044119E" w:rsidRPr="0044119E">
        <w:rPr>
          <w:rFonts w:asciiTheme="majorBidi" w:hAnsiTheme="majorBidi" w:cstheme="majorBidi"/>
        </w:rPr>
        <w:t xml:space="preserve"> dans la rédaction</w:t>
      </w:r>
    </w:p>
    <w:p w:rsidR="0044119E" w:rsidRDefault="0044119E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la</w:t>
      </w:r>
      <w:proofErr w:type="gramEnd"/>
      <w:r>
        <w:rPr>
          <w:rFonts w:asciiTheme="majorBidi" w:hAnsiTheme="majorBidi" w:cstheme="majorBidi"/>
        </w:rPr>
        <w:t xml:space="preserve"> soutenance comme un moment d’échange scientifique long sur un travail de thèse</w:t>
      </w:r>
    </w:p>
    <w:p w:rsidR="0044119E" w:rsidRDefault="00176F2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u</w:t>
      </w:r>
      <w:r w:rsidR="0044119E">
        <w:rPr>
          <w:rFonts w:asciiTheme="majorBidi" w:hAnsiTheme="majorBidi" w:cstheme="majorBidi"/>
        </w:rPr>
        <w:t>ne</w:t>
      </w:r>
      <w:proofErr w:type="gramEnd"/>
      <w:r w:rsidR="0044119E">
        <w:rPr>
          <w:rFonts w:asciiTheme="majorBidi" w:hAnsiTheme="majorBidi" w:cstheme="majorBidi"/>
        </w:rPr>
        <w:t xml:space="preserve"> thèse </w:t>
      </w:r>
      <w:proofErr w:type="spellStart"/>
      <w:r w:rsidR="0044119E">
        <w:rPr>
          <w:rFonts w:asciiTheme="majorBidi" w:hAnsiTheme="majorBidi" w:cstheme="majorBidi"/>
        </w:rPr>
        <w:t>doit-elle</w:t>
      </w:r>
      <w:proofErr w:type="spellEnd"/>
      <w:r w:rsidR="0044119E">
        <w:rPr>
          <w:rFonts w:asciiTheme="majorBidi" w:hAnsiTheme="majorBidi" w:cstheme="majorBidi"/>
        </w:rPr>
        <w:t xml:space="preserve"> faire consensus ? Ou au contraire susciter la polémique…</w:t>
      </w:r>
    </w:p>
    <w:p w:rsidR="0044119E" w:rsidRDefault="00176F2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l</w:t>
      </w:r>
      <w:r w:rsidR="0044119E">
        <w:rPr>
          <w:rFonts w:asciiTheme="majorBidi" w:hAnsiTheme="majorBidi" w:cstheme="majorBidi"/>
        </w:rPr>
        <w:t>a</w:t>
      </w:r>
      <w:proofErr w:type="gramEnd"/>
      <w:r w:rsidR="0044119E">
        <w:rPr>
          <w:rFonts w:asciiTheme="majorBidi" w:hAnsiTheme="majorBidi" w:cstheme="majorBidi"/>
        </w:rPr>
        <w:t xml:space="preserve"> problématique évolue jusqu’à la fin de l’écriture</w:t>
      </w:r>
    </w:p>
    <w:p w:rsidR="00FA6C60" w:rsidRDefault="00176F2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q</w:t>
      </w:r>
      <w:r w:rsidR="00FA6C60">
        <w:rPr>
          <w:rFonts w:asciiTheme="majorBidi" w:hAnsiTheme="majorBidi" w:cstheme="majorBidi"/>
        </w:rPr>
        <w:t>uand</w:t>
      </w:r>
      <w:proofErr w:type="gramEnd"/>
      <w:r w:rsidR="00FA6C60">
        <w:rPr>
          <w:rFonts w:asciiTheme="majorBidi" w:hAnsiTheme="majorBidi" w:cstheme="majorBidi"/>
        </w:rPr>
        <w:t xml:space="preserve"> commence réellement le processus d’écriture ?</w:t>
      </w:r>
      <w:r w:rsidR="005A24AC">
        <w:rPr>
          <w:rFonts w:asciiTheme="majorBidi" w:hAnsiTheme="majorBidi" w:cstheme="majorBidi"/>
        </w:rPr>
        <w:t xml:space="preserve"> Dès le début avec l’écriture de réponses à appels à communication et même depuis la proposition de thèse.</w:t>
      </w:r>
      <w:r w:rsidR="00FA6C60">
        <w:rPr>
          <w:rFonts w:asciiTheme="majorBidi" w:hAnsiTheme="majorBidi" w:cstheme="majorBidi"/>
        </w:rPr>
        <w:t xml:space="preserve"> </w:t>
      </w:r>
      <w:r w:rsidR="005A24AC">
        <w:rPr>
          <w:rFonts w:asciiTheme="majorBidi" w:hAnsiTheme="majorBidi" w:cstheme="majorBidi"/>
        </w:rPr>
        <w:t xml:space="preserve">Ces fragments d’écriture peuvent servir de base pour être assemblés même si l’écriture de la thèse demande une articulation entre ces bouts, </w:t>
      </w:r>
      <w:r w:rsidR="00FA6C60">
        <w:rPr>
          <w:rFonts w:asciiTheme="majorBidi" w:hAnsiTheme="majorBidi" w:cstheme="majorBidi"/>
        </w:rPr>
        <w:t xml:space="preserve">à la recherche du fil conducteur de la thèse, de la problématisation </w:t>
      </w:r>
    </w:p>
    <w:p w:rsidR="005A24AC" w:rsidRDefault="005A24A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où commencer ? Initier par le terrain (analyse des données de terrain), une entrée par le terrain aide à revenir sur ces lectures avec une perspective différente et permettre une ouverture à de nouveaux champs. Le terrain aide à poser d’autres questions et fait revenir aux questionnements initiaux et l’état de l’art.</w:t>
      </w:r>
    </w:p>
    <w:p w:rsidR="005A24AC" w:rsidRDefault="005A24AC" w:rsidP="00015D21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Idée d’obtenir des retours critiques en soumettant des chapitres à des collègues chercheurs sous forme de réponses à appels à communication.</w:t>
      </w:r>
    </w:p>
    <w:p w:rsidR="00F8633D" w:rsidRDefault="00F8633D" w:rsidP="00F8633D">
      <w:pPr>
        <w:jc w:val="both"/>
        <w:rPr>
          <w:rFonts w:asciiTheme="majorBidi" w:hAnsiTheme="majorBidi" w:cstheme="majorBidi"/>
        </w:rPr>
      </w:pPr>
    </w:p>
    <w:p w:rsidR="00F8633D" w:rsidRDefault="00F8633D" w:rsidP="00F8633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Lectures suggérées </w:t>
      </w:r>
    </w:p>
    <w:p w:rsidR="00F8633D" w:rsidRPr="00F8633D" w:rsidRDefault="00F8633D" w:rsidP="00F8633D">
      <w:r w:rsidRPr="00F8633D">
        <w:t xml:space="preserve">ANGEL et SANSON </w:t>
      </w:r>
      <w:r>
        <w:t>« La soutenance et la qualification : des analyseurs de l’</w:t>
      </w:r>
      <w:proofErr w:type="spellStart"/>
      <w:r>
        <w:t>ecriture</w:t>
      </w:r>
      <w:proofErr w:type="spellEnd"/>
      <w:r>
        <w:t xml:space="preserve"> du doctorant au chercheur » </w:t>
      </w:r>
      <w:hyperlink r:id="rId5" w:history="1">
        <w:r w:rsidRPr="00B1125E">
          <w:rPr>
            <w:rStyle w:val="Lienhypertexte"/>
          </w:rPr>
          <w:t>https://www.pantheonsorbonne.fr/IMG/pdf/Communication_Angel-Samson.pdf</w:t>
        </w:r>
      </w:hyperlink>
      <w:r>
        <w:t xml:space="preserve"> </w:t>
      </w:r>
    </w:p>
    <w:p w:rsidR="00F8633D" w:rsidRPr="00F8633D" w:rsidRDefault="00F8633D" w:rsidP="00F8633D">
      <w:pPr>
        <w:rPr>
          <w:rFonts w:asciiTheme="minorHAnsi" w:eastAsiaTheme="minorHAnsi" w:hAnsiTheme="minorHAnsi" w:cstheme="minorBidi"/>
          <w:lang w:eastAsia="en-US"/>
        </w:rPr>
      </w:pPr>
      <w:r w:rsidRPr="00F8633D">
        <w:rPr>
          <w:lang w:val="en-US"/>
        </w:rPr>
        <w:t>BECKER</w:t>
      </w:r>
      <w:r w:rsidRPr="00F8633D">
        <w:rPr>
          <w:lang w:val="en-US"/>
        </w:rPr>
        <w:t xml:space="preserve">, Howard </w:t>
      </w:r>
      <w:r w:rsidRPr="00F8633D">
        <w:rPr>
          <w:rFonts w:asciiTheme="minorHAnsi" w:eastAsiaTheme="minorHAnsi" w:hAnsiTheme="minorHAnsi" w:cstheme="minorBidi"/>
          <w:lang w:val="en-US" w:eastAsia="en-US"/>
        </w:rPr>
        <w:t>S.  </w:t>
      </w:r>
      <w:r w:rsidRPr="00F8633D">
        <w:rPr>
          <w:rFonts w:asciiTheme="minorHAnsi" w:eastAsiaTheme="minorHAnsi" w:hAnsiTheme="minorHAnsi" w:cstheme="minorBidi"/>
          <w:i/>
          <w:iCs/>
          <w:lang w:eastAsia="en-US"/>
        </w:rPr>
        <w:t>Écrire les sciences sociales. Commencer et terminer son article, sa thèse ou son livre.</w:t>
      </w:r>
      <w:r w:rsidRPr="00F8633D">
        <w:rPr>
          <w:rFonts w:asciiTheme="minorHAnsi" w:eastAsiaTheme="minorHAnsi" w:hAnsiTheme="minorHAnsi" w:cstheme="minorBidi"/>
          <w:lang w:eastAsia="en-US"/>
        </w:rPr>
        <w:t xml:space="preserve"> Paris, </w:t>
      </w:r>
      <w:proofErr w:type="spellStart"/>
      <w:r w:rsidRPr="00F8633D">
        <w:rPr>
          <w:rFonts w:asciiTheme="minorHAnsi" w:eastAsiaTheme="minorHAnsi" w:hAnsiTheme="minorHAnsi" w:cstheme="minorBidi"/>
          <w:lang w:eastAsia="en-US"/>
        </w:rPr>
        <w:t>Economica</w:t>
      </w:r>
      <w:proofErr w:type="spellEnd"/>
      <w:r w:rsidRPr="00F8633D">
        <w:rPr>
          <w:rFonts w:asciiTheme="minorHAnsi" w:eastAsiaTheme="minorHAnsi" w:hAnsiTheme="minorHAnsi" w:cstheme="minorBidi"/>
          <w:lang w:eastAsia="en-US"/>
        </w:rPr>
        <w:t>, 2004, 179 p.</w:t>
      </w:r>
    </w:p>
    <w:p w:rsidR="00F8633D" w:rsidRDefault="00F8633D" w:rsidP="00F8633D">
      <w:r w:rsidRPr="00AC36F3">
        <w:t>BELLEVILLE</w:t>
      </w:r>
      <w:r>
        <w:t>,</w:t>
      </w:r>
      <w:r w:rsidRPr="00AC36F3">
        <w:t xml:space="preserve"> Geneviève</w:t>
      </w:r>
      <w:r>
        <w:t>.</w:t>
      </w:r>
      <w:r w:rsidRPr="00AC36F3">
        <w:t xml:space="preserve"> </w:t>
      </w:r>
      <w:r w:rsidRPr="00AC36F3">
        <w:rPr>
          <w:i/>
        </w:rPr>
        <w:t>Assieds-toi et écris ta thèse, Trucs pratiques et motivationnels pour la rédaction scientifique</w:t>
      </w:r>
      <w:r w:rsidRPr="00AC36F3">
        <w:t>, Presses de l’Université Laval, 201</w:t>
      </w:r>
      <w:r>
        <w:t>4</w:t>
      </w:r>
      <w:r>
        <w:t>.</w:t>
      </w:r>
    </w:p>
    <w:p w:rsidR="00F8633D" w:rsidRDefault="00F8633D" w:rsidP="00F8633D">
      <w:r w:rsidRPr="00FD0F8E">
        <w:rPr>
          <w:bCs/>
        </w:rPr>
        <w:t>DUCHEMIN</w:t>
      </w:r>
      <w:r w:rsidRPr="00FD0F8E">
        <w:t xml:space="preserve"> </w:t>
      </w:r>
      <w:proofErr w:type="spellStart"/>
      <w:r w:rsidRPr="00FD0F8E">
        <w:t>Eric</w:t>
      </w:r>
      <w:proofErr w:type="spellEnd"/>
      <w:r w:rsidRPr="00FD0F8E">
        <w:t xml:space="preserve"> « </w:t>
      </w:r>
      <w:r w:rsidRPr="00FD0F8E">
        <w:rPr>
          <w:bCs/>
        </w:rPr>
        <w:t xml:space="preserve">Guide - rédaction scientifique. </w:t>
      </w:r>
      <w:r w:rsidRPr="00CD76E4">
        <w:t>Écrire pour un journal scientifique</w:t>
      </w:r>
      <w:r w:rsidRPr="00FD0F8E">
        <w:t> »</w:t>
      </w:r>
      <w:r>
        <w:t xml:space="preserve"> </w:t>
      </w:r>
      <w:hyperlink r:id="rId6" w:history="1">
        <w:r w:rsidRPr="00B1125E">
          <w:rPr>
            <w:rStyle w:val="Lienhypertexte"/>
          </w:rPr>
          <w:t>https://journals.openedition.org/vertigo/5402?lang=en</w:t>
        </w:r>
      </w:hyperlink>
      <w:r>
        <w:t xml:space="preserve"> </w:t>
      </w:r>
    </w:p>
    <w:p w:rsidR="00F8633D" w:rsidRDefault="00F8633D" w:rsidP="00F8633D">
      <w:r>
        <w:t>ECO</w:t>
      </w:r>
      <w:r>
        <w:t xml:space="preserve">, Umberto. </w:t>
      </w:r>
      <w:r w:rsidRPr="00F8633D">
        <w:rPr>
          <w:rFonts w:asciiTheme="minorHAnsi" w:eastAsiaTheme="minorHAnsi" w:hAnsiTheme="minorHAnsi" w:cstheme="minorBidi"/>
          <w:lang w:eastAsia="en-US"/>
        </w:rPr>
        <w:t xml:space="preserve">Comment écrire sa </w:t>
      </w:r>
      <w:proofErr w:type="gramStart"/>
      <w:r w:rsidRPr="00F8633D">
        <w:rPr>
          <w:rFonts w:asciiTheme="minorHAnsi" w:eastAsiaTheme="minorHAnsi" w:hAnsiTheme="minorHAnsi" w:cstheme="minorBidi"/>
          <w:lang w:eastAsia="en-US"/>
        </w:rPr>
        <w:t>thèse?,</w:t>
      </w:r>
      <w:proofErr w:type="gramEnd"/>
      <w:r w:rsidRPr="00F8633D">
        <w:rPr>
          <w:rFonts w:asciiTheme="minorHAnsi" w:eastAsiaTheme="minorHAnsi" w:hAnsiTheme="minorHAnsi" w:cstheme="minorBidi"/>
          <w:lang w:eastAsia="en-US"/>
        </w:rPr>
        <w:t xml:space="preserve"> Paris, Flammarion, 2016</w:t>
      </w:r>
      <w:r>
        <w:t xml:space="preserve">. Lien vers le compte-rendu de lecture : </w:t>
      </w:r>
      <w:hyperlink r:id="rId7" w:history="1">
        <w:r w:rsidRPr="00B1125E">
          <w:rPr>
            <w:rStyle w:val="Lienhypertexte"/>
          </w:rPr>
          <w:t>https://biospraktikos.hypotheses.org/3036</w:t>
        </w:r>
      </w:hyperlink>
      <w:r>
        <w:t xml:space="preserve"> </w:t>
      </w:r>
    </w:p>
    <w:p w:rsidR="00F8633D" w:rsidRDefault="00F8633D" w:rsidP="00F8633D">
      <w:r>
        <w:t>GRACQ Julien. En lisant en écrivant.</w:t>
      </w:r>
      <w:r>
        <w:t xml:space="preserve"> José Corti.1980. Lien vers le compte-rendu </w:t>
      </w:r>
      <w:hyperlink r:id="rId8" w:history="1">
        <w:r w:rsidRPr="00B1125E">
          <w:rPr>
            <w:rStyle w:val="Lienhypertexte"/>
          </w:rPr>
          <w:t>https://www.researchgate.net/publication/341488930_En_lisant_en_ecrivant_ou_comment_le_sens_et_les_sens_coexistent_chez_Julien_GRACQ</w:t>
        </w:r>
      </w:hyperlink>
      <w:r>
        <w:t xml:space="preserve"> </w:t>
      </w:r>
    </w:p>
    <w:p w:rsidR="00F8633D" w:rsidRDefault="00F8633D" w:rsidP="00F8633D">
      <w:r>
        <w:lastRenderedPageBreak/>
        <w:t>HUNSMANN, Moritz (</w:t>
      </w:r>
      <w:proofErr w:type="spellStart"/>
      <w:r>
        <w:t>dir</w:t>
      </w:r>
      <w:proofErr w:type="spellEnd"/>
      <w:r>
        <w:t>.) ; KAPP, Sébastien (</w:t>
      </w:r>
      <w:proofErr w:type="spellStart"/>
      <w:r>
        <w:t>dir</w:t>
      </w:r>
      <w:proofErr w:type="spellEnd"/>
      <w:r>
        <w:t xml:space="preserve">.). </w:t>
      </w:r>
      <w:r>
        <w:rPr>
          <w:rStyle w:val="Accentuation"/>
        </w:rPr>
        <w:t>Devenir chercheur : Écrire une thèse en sciences sociales.</w:t>
      </w:r>
      <w:r>
        <w:t xml:space="preserve"> Nouvelle édition [en ligne]. Paris : Éditions de l’École des hautes études en sciences sociales, 2013 (généré le 18 novembre 2020). Disponible sur Internet : &lt;http://books.openedition.org/editionsehess/1277&gt;.  ISBN : 9782713225963. DOI : https://doi.org/10.4000/books.editionsehess.1277.</w:t>
      </w:r>
    </w:p>
    <w:p w:rsidR="00F8633D" w:rsidRDefault="00F8633D" w:rsidP="00F8633D">
      <w:r>
        <w:t>KING,</w:t>
      </w:r>
      <w:r>
        <w:t xml:space="preserve"> Stephen. </w:t>
      </w:r>
      <w:proofErr w:type="spellStart"/>
      <w:r w:rsidRPr="00AA18D0">
        <w:rPr>
          <w:i/>
        </w:rPr>
        <w:t>Ecriture</w:t>
      </w:r>
      <w:proofErr w:type="spellEnd"/>
      <w:r w:rsidRPr="00AA18D0">
        <w:rPr>
          <w:i/>
        </w:rPr>
        <w:t>. Mémoires d’un métier</w:t>
      </w:r>
      <w:r>
        <w:t>. 2003. Poche.</w:t>
      </w:r>
    </w:p>
    <w:p w:rsidR="00F8633D" w:rsidRDefault="00F8633D" w:rsidP="00F8633D">
      <w:pPr>
        <w:jc w:val="both"/>
      </w:pPr>
      <w:r>
        <w:rPr>
          <w:rStyle w:val="uppercase"/>
        </w:rPr>
        <w:t>ZAKI</w:t>
      </w:r>
      <w:r>
        <w:t>,</w:t>
      </w:r>
      <w:r>
        <w:t xml:space="preserve"> L. (2006). « L'écriture d'une thèse en sciences sociales : entre contingences et nécessités ». </w:t>
      </w:r>
      <w:r>
        <w:rPr>
          <w:i/>
          <w:iCs/>
        </w:rPr>
        <w:t>Genèses</w:t>
      </w:r>
      <w:r>
        <w:t>, n</w:t>
      </w:r>
      <w:r>
        <w:rPr>
          <w:vertAlign w:val="superscript"/>
        </w:rPr>
        <w:t>o</w:t>
      </w:r>
      <w:r>
        <w:t xml:space="preserve"> 65(4), 112-125. </w:t>
      </w:r>
      <w:hyperlink r:id="rId9" w:history="1">
        <w:r>
          <w:rPr>
            <w:rStyle w:val="Lienhypertexte"/>
          </w:rPr>
          <w:t>https://doi.org/10.3917/gen.065.0112</w:t>
        </w:r>
      </w:hyperlink>
    </w:p>
    <w:p w:rsidR="00F8633D" w:rsidRDefault="00F8633D" w:rsidP="00F8633D">
      <w:pPr>
        <w:rPr>
          <w:b/>
          <w:u w:val="single"/>
        </w:rPr>
      </w:pPr>
    </w:p>
    <w:p w:rsidR="00F8633D" w:rsidRPr="0079200A" w:rsidRDefault="00F8633D" w:rsidP="00F8633D">
      <w:pPr>
        <w:rPr>
          <w:b/>
          <w:u w:val="single"/>
        </w:rPr>
      </w:pPr>
      <w:r w:rsidRPr="0079200A">
        <w:rPr>
          <w:b/>
          <w:u w:val="single"/>
        </w:rPr>
        <w:t>Blogs et sites internet</w:t>
      </w:r>
    </w:p>
    <w:p w:rsidR="00F8633D" w:rsidRDefault="00F8633D" w:rsidP="00F8633D">
      <w:r>
        <w:t xml:space="preserve">Carnet hypothèse du séminaire les aspects concrets de la thèse de l’EHESS. </w:t>
      </w:r>
      <w:hyperlink r:id="rId10" w:history="1">
        <w:r w:rsidRPr="00502DDC">
          <w:rPr>
            <w:rStyle w:val="Lienhypertexte"/>
          </w:rPr>
          <w:t>https://act.hypotheses.org/</w:t>
        </w:r>
      </w:hyperlink>
      <w:r>
        <w:t xml:space="preserve"> </w:t>
      </w:r>
    </w:p>
    <w:p w:rsidR="00F8633D" w:rsidRDefault="00F8633D" w:rsidP="00F8633D">
      <w:proofErr w:type="spellStart"/>
      <w:r>
        <w:t>Thésez</w:t>
      </w:r>
      <w:proofErr w:type="spellEnd"/>
      <w:r>
        <w:t xml:space="preserve"> vous </w:t>
      </w:r>
      <w:hyperlink r:id="rId11" w:history="1">
        <w:r w:rsidRPr="00502DDC">
          <w:rPr>
            <w:rStyle w:val="Lienhypertexte"/>
          </w:rPr>
          <w:t>https://www.thesez-vous.com</w:t>
        </w:r>
      </w:hyperlink>
      <w:r>
        <w:t xml:space="preserve"> </w:t>
      </w:r>
    </w:p>
    <w:p w:rsidR="00F8633D" w:rsidRDefault="00F8633D" w:rsidP="00F8633D">
      <w:r>
        <w:t xml:space="preserve">Grand labo </w:t>
      </w:r>
      <w:hyperlink r:id="rId12" w:history="1">
        <w:r w:rsidRPr="00502DDC">
          <w:rPr>
            <w:rStyle w:val="Lienhypertexte"/>
          </w:rPr>
          <w:t>https://www.grandlabo.com/</w:t>
        </w:r>
      </w:hyperlink>
      <w:r>
        <w:t xml:space="preserve">  </w:t>
      </w:r>
    </w:p>
    <w:p w:rsidR="00F8633D" w:rsidRDefault="00F8633D" w:rsidP="00F8633D">
      <w:pPr>
        <w:pStyle w:val="Paragraphedeliste"/>
        <w:numPr>
          <w:ilvl w:val="0"/>
          <w:numId w:val="4"/>
        </w:numPr>
        <w:spacing w:after="200" w:line="276" w:lineRule="auto"/>
      </w:pPr>
      <w:proofErr w:type="gramStart"/>
      <w:r>
        <w:t>dont</w:t>
      </w:r>
      <w:proofErr w:type="gramEnd"/>
      <w:r>
        <w:t xml:space="preserve"> le podcast « SOS </w:t>
      </w:r>
      <w:proofErr w:type="spellStart"/>
      <w:r>
        <w:t>téléthèse</w:t>
      </w:r>
      <w:proofErr w:type="spellEnd"/>
      <w:r>
        <w:t xml:space="preserve"> : rédiger sa thèse en confinement » </w:t>
      </w:r>
      <w:hyperlink r:id="rId13" w:history="1">
        <w:r w:rsidRPr="00502DDC">
          <w:rPr>
            <w:rStyle w:val="Lienhypertexte"/>
          </w:rPr>
          <w:t>https://www.grandlabo.com/rediger-sa-these-en-confinement-tips-outils-methodes/</w:t>
        </w:r>
      </w:hyperlink>
      <w:r>
        <w:t xml:space="preserve"> </w:t>
      </w:r>
    </w:p>
    <w:p w:rsidR="00D546FD" w:rsidRPr="00F8633D" w:rsidRDefault="00D546FD" w:rsidP="00D546FD">
      <w:pPr>
        <w:jc w:val="both"/>
        <w:rPr>
          <w:rFonts w:asciiTheme="majorBidi" w:hAnsiTheme="majorBidi" w:cstheme="majorBidi"/>
          <w:lang w:val="en-US"/>
        </w:rPr>
      </w:pPr>
    </w:p>
    <w:p w:rsidR="00D546FD" w:rsidRPr="0064059B" w:rsidRDefault="00D546FD" w:rsidP="00D546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4059B">
        <w:rPr>
          <w:rFonts w:asciiTheme="majorBidi" w:hAnsiTheme="majorBidi" w:cstheme="majorBidi"/>
          <w:b/>
          <w:bCs/>
        </w:rPr>
        <w:t>Cadrage(s) de terrain, par Manon</w:t>
      </w:r>
    </w:p>
    <w:p w:rsidR="00D546FD" w:rsidRDefault="00D546FD" w:rsidP="00D546FD">
      <w:pPr>
        <w:jc w:val="both"/>
        <w:rPr>
          <w:rFonts w:asciiTheme="majorBidi" w:hAnsiTheme="majorBidi" w:cstheme="majorBidi"/>
        </w:rPr>
      </w:pPr>
    </w:p>
    <w:p w:rsidR="00F8633D" w:rsidRDefault="00F8633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Comment délimiter son terrain ? A partir des divisions administratives ? De l’emprise spatiale ? Du cœur historique ?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La délimitation spatiale du terrain se fait avec l’articulation avec un fil conducteur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La lecture de l’engagement ethnographique eut aider à circonscrire son terrain en ne se limitant pas à une circonscription spatiale mais en la couplant avec la dimension temporelle.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Pour le choix de son terrain, importance de ce qui fait terrain (ex : les acteurs, groupes d’acteurs et leurs initiatives) et pas seulement à ce qu’est le terrain matériellement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Image de la toile d’araignée avec un cœur spatial de terrain et des liens avec d’autres espaces qui y sont connectés en tirant les fils de la toile.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</w:p>
    <w:p w:rsidR="00D546FD" w:rsidRDefault="00D546FD" w:rsidP="00D546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Lectures suggérées :</w:t>
      </w:r>
    </w:p>
    <w:p w:rsidR="00D546FD" w:rsidRPr="00D546FD" w:rsidRDefault="00D546FD" w:rsidP="00D546F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D546FD">
        <w:rPr>
          <w:rFonts w:asciiTheme="majorBidi" w:hAnsiTheme="majorBidi" w:cstheme="majorBidi"/>
        </w:rPr>
        <w:t>Giroud</w:t>
      </w:r>
      <w:r>
        <w:rPr>
          <w:rFonts w:asciiTheme="majorBidi" w:hAnsiTheme="majorBidi" w:cstheme="majorBidi"/>
        </w:rPr>
        <w:t xml:space="preserve"> sur la</w:t>
      </w:r>
      <w:r w:rsidRPr="00D546FD">
        <w:rPr>
          <w:rFonts w:asciiTheme="majorBidi" w:hAnsiTheme="majorBidi" w:cstheme="majorBidi"/>
        </w:rPr>
        <w:t xml:space="preserve"> reconfiguration des quartiers populaires</w:t>
      </w:r>
    </w:p>
    <w:p w:rsidR="00D546FD" w:rsidRDefault="006C0FE1" w:rsidP="00D546F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hyperlink r:id="rId14" w:history="1">
        <w:r w:rsidR="00D546FD" w:rsidRPr="00D1328B">
          <w:rPr>
            <w:rStyle w:val="Lienhypertexte"/>
            <w:rFonts w:asciiTheme="majorBidi" w:hAnsiTheme="majorBidi" w:cstheme="majorBidi"/>
          </w:rPr>
          <w:t>https://journals.openedition.org/lectures/19780</w:t>
        </w:r>
      </w:hyperlink>
      <w:r w:rsidR="00D546FD">
        <w:rPr>
          <w:rFonts w:asciiTheme="majorBidi" w:hAnsiTheme="majorBidi" w:cstheme="majorBidi"/>
        </w:rPr>
        <w:t xml:space="preserve"> </w:t>
      </w:r>
    </w:p>
    <w:p w:rsidR="00D546FD" w:rsidRDefault="006C0FE1" w:rsidP="00D546F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hyperlink r:id="rId15" w:history="1">
        <w:r w:rsidR="00D546FD" w:rsidRPr="00D1328B">
          <w:rPr>
            <w:rStyle w:val="Lienhypertexte"/>
            <w:rFonts w:asciiTheme="majorBidi" w:hAnsiTheme="majorBidi" w:cstheme="majorBidi"/>
          </w:rPr>
          <w:t>https://journals.openedition.org/articulo/2429</w:t>
        </w:r>
      </w:hyperlink>
    </w:p>
    <w:p w:rsidR="00D546FD" w:rsidRPr="00D546FD" w:rsidRDefault="00D546FD" w:rsidP="00D546FD">
      <w:pPr>
        <w:pStyle w:val="Paragraphedeliste"/>
        <w:jc w:val="both"/>
        <w:rPr>
          <w:rFonts w:asciiTheme="majorBidi" w:hAnsiTheme="majorBidi" w:cstheme="majorBidi"/>
        </w:rPr>
      </w:pPr>
    </w:p>
    <w:p w:rsidR="00D546FD" w:rsidRPr="0064059B" w:rsidRDefault="00D546FD" w:rsidP="00D546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4059B">
        <w:rPr>
          <w:rFonts w:asciiTheme="majorBidi" w:hAnsiTheme="majorBidi" w:cstheme="majorBidi"/>
          <w:b/>
          <w:bCs/>
        </w:rPr>
        <w:t xml:space="preserve">Vie de la cité 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</w:p>
    <w:p w:rsidR="00D546FD" w:rsidRPr="00F8633D" w:rsidRDefault="00D546FD" w:rsidP="00D546FD">
      <w:pPr>
        <w:jc w:val="both"/>
        <w:rPr>
          <w:rFonts w:asciiTheme="majorBidi" w:hAnsiTheme="majorBidi" w:cstheme="majorBidi"/>
          <w:u w:val="single"/>
        </w:rPr>
      </w:pPr>
      <w:r w:rsidRPr="00F8633D">
        <w:rPr>
          <w:rFonts w:asciiTheme="majorBidi" w:hAnsiTheme="majorBidi" w:cstheme="majorBidi"/>
          <w:u w:val="single"/>
        </w:rPr>
        <w:t>1. Comités de suivi individuels (CSI)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  <w:r w:rsidRPr="00D546FD">
        <w:rPr>
          <w:rFonts w:asciiTheme="majorBidi" w:hAnsiTheme="majorBidi" w:cstheme="majorBidi"/>
        </w:rPr>
        <w:t>Initiés en 2016 pour être un espace d'échange (avec deux chercheurs, un du labo, un extérieur) hors direction de thèse pour les doctorants rencontrant des difficultés. Les CSI donnent lieu à un rapport qui conditionne l'inscription universitaire des doctorants à partir de la deuxième année de thèse.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  <w:proofErr w:type="spellStart"/>
      <w:r w:rsidRPr="00D546FD">
        <w:rPr>
          <w:rFonts w:asciiTheme="majorBidi" w:hAnsiTheme="majorBidi" w:cstheme="majorBidi"/>
        </w:rPr>
        <w:t>Etant</w:t>
      </w:r>
      <w:proofErr w:type="spellEnd"/>
      <w:r w:rsidRPr="00D546FD">
        <w:rPr>
          <w:rFonts w:asciiTheme="majorBidi" w:hAnsiTheme="majorBidi" w:cstheme="majorBidi"/>
        </w:rPr>
        <w:t xml:space="preserve"> donné le manque de clarté quant à leur organisation et l'</w:t>
      </w:r>
      <w:r w:rsidR="0064059B" w:rsidRPr="00D546FD">
        <w:rPr>
          <w:rFonts w:asciiTheme="majorBidi" w:hAnsiTheme="majorBidi" w:cstheme="majorBidi"/>
        </w:rPr>
        <w:t>ambiguïté</w:t>
      </w:r>
      <w:r w:rsidRPr="00D546FD">
        <w:rPr>
          <w:rFonts w:asciiTheme="majorBidi" w:hAnsiTheme="majorBidi" w:cstheme="majorBidi"/>
        </w:rPr>
        <w:t xml:space="preserve"> de leurs objectifs, nous vous proposons d'établir une liste de proposition à transmettre au LAVUE pour faire remonter les déviances de ces comités mais également proposer un cadrage à partir de nos volontés.</w:t>
      </w:r>
    </w:p>
    <w:p w:rsidR="00F8633D" w:rsidRDefault="00F8633D" w:rsidP="00D546FD">
      <w:pPr>
        <w:jc w:val="both"/>
        <w:rPr>
          <w:rFonts w:asciiTheme="majorBidi" w:hAnsiTheme="majorBidi" w:cstheme="majorBidi"/>
        </w:rPr>
      </w:pPr>
    </w:p>
    <w:p w:rsidR="00F8633D" w:rsidRPr="00F8633D" w:rsidRDefault="00F8633D" w:rsidP="00F8633D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=&gt; </w:t>
      </w:r>
      <w:r w:rsidR="00D546FD" w:rsidRPr="00D546FD">
        <w:rPr>
          <w:rFonts w:asciiTheme="majorBidi" w:hAnsiTheme="majorBidi" w:cstheme="majorBidi"/>
        </w:rPr>
        <w:t xml:space="preserve">Vous êtes invités à remplir ce </w:t>
      </w:r>
      <w:proofErr w:type="spellStart"/>
      <w:r w:rsidR="00D546FD" w:rsidRPr="00D546FD">
        <w:rPr>
          <w:rFonts w:asciiTheme="majorBidi" w:hAnsiTheme="majorBidi" w:cstheme="majorBidi"/>
        </w:rPr>
        <w:t>google</w:t>
      </w:r>
      <w:proofErr w:type="spellEnd"/>
      <w:r w:rsidR="00D546FD" w:rsidRPr="00D546FD">
        <w:rPr>
          <w:rFonts w:asciiTheme="majorBidi" w:hAnsiTheme="majorBidi" w:cstheme="majorBidi"/>
        </w:rPr>
        <w:t xml:space="preserve"> doc pour faire part de vos </w:t>
      </w:r>
      <w:proofErr w:type="gramStart"/>
      <w:r w:rsidR="00D546FD" w:rsidRPr="00D546FD">
        <w:rPr>
          <w:rFonts w:asciiTheme="majorBidi" w:hAnsiTheme="majorBidi" w:cstheme="majorBidi"/>
        </w:rPr>
        <w:t>propositions:</w:t>
      </w:r>
      <w:proofErr w:type="gramEnd"/>
      <w:r w:rsidR="00D546FD" w:rsidRPr="00D546FD">
        <w:rPr>
          <w:rFonts w:asciiTheme="majorBidi" w:hAnsiTheme="majorBidi" w:cstheme="majorBidi"/>
        </w:rPr>
        <w:t> </w:t>
      </w:r>
    </w:p>
    <w:p w:rsidR="00D546FD" w:rsidRPr="00D546FD" w:rsidRDefault="00F8633D" w:rsidP="00F8633D">
      <w:pPr>
        <w:ind w:left="708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FF"/>
          <w:u w:val="single"/>
        </w:rPr>
        <w:fldChar w:fldCharType="begin"/>
      </w:r>
      <w:r>
        <w:rPr>
          <w:rFonts w:asciiTheme="majorBidi" w:hAnsiTheme="majorBidi" w:cstheme="majorBidi"/>
          <w:color w:val="0000FF"/>
          <w:u w:val="single"/>
        </w:rPr>
        <w:instrText xml:space="preserve"> HYPERLINK "</w:instrText>
      </w:r>
      <w:r w:rsidRPr="00D546FD">
        <w:rPr>
          <w:rFonts w:asciiTheme="majorBidi" w:hAnsiTheme="majorBidi" w:cstheme="majorBidi"/>
          <w:color w:val="0000FF"/>
          <w:u w:val="single"/>
        </w:rPr>
        <w:instrText>https://docs.google.com/document/d/10c9lgK9Pne-PWMXWd7Cel4xclFVdi2x5l8e4TwgZbIw/edit?usp=sharing</w:instrText>
      </w:r>
      <w:r>
        <w:rPr>
          <w:rFonts w:asciiTheme="majorBidi" w:hAnsiTheme="majorBidi" w:cstheme="majorBidi"/>
          <w:color w:val="0000FF"/>
          <w:u w:val="single"/>
        </w:rPr>
        <w:instrText xml:space="preserve">" </w:instrText>
      </w:r>
      <w:r>
        <w:rPr>
          <w:rFonts w:asciiTheme="majorBidi" w:hAnsiTheme="majorBidi" w:cstheme="majorBidi"/>
          <w:color w:val="0000FF"/>
          <w:u w:val="single"/>
        </w:rPr>
        <w:fldChar w:fldCharType="separate"/>
      </w:r>
      <w:r w:rsidRPr="00B1125E">
        <w:rPr>
          <w:rStyle w:val="Lienhypertexte"/>
          <w:rFonts w:asciiTheme="majorBidi" w:hAnsiTheme="majorBidi" w:cstheme="majorBidi"/>
        </w:rPr>
        <w:t>https://docs.google.com/document/d/10c9lgK9Pne-</w:t>
      </w:r>
      <w:r w:rsidRPr="00B1125E">
        <w:rPr>
          <w:rStyle w:val="Lienhypertexte"/>
          <w:rFonts w:asciiTheme="majorBidi" w:hAnsiTheme="majorBidi" w:cstheme="majorBidi"/>
        </w:rPr>
        <w:t>P</w:t>
      </w:r>
      <w:r w:rsidRPr="00B1125E">
        <w:rPr>
          <w:rStyle w:val="Lienhypertexte"/>
          <w:rFonts w:asciiTheme="majorBidi" w:hAnsiTheme="majorBidi" w:cstheme="majorBidi"/>
        </w:rPr>
        <w:t>WMXWd7Cel4xclFVdi2x5l8e4TwgZbIw/edit?usp=sharing</w:t>
      </w:r>
      <w:r>
        <w:rPr>
          <w:rFonts w:asciiTheme="majorBidi" w:hAnsiTheme="majorBidi" w:cstheme="majorBidi"/>
          <w:color w:val="0000FF"/>
          <w:u w:val="single"/>
        </w:rPr>
        <w:fldChar w:fldCharType="end"/>
      </w:r>
    </w:p>
    <w:p w:rsidR="00D546FD" w:rsidRPr="00F8633D" w:rsidRDefault="00D546FD" w:rsidP="00D546FD">
      <w:pPr>
        <w:jc w:val="both"/>
        <w:rPr>
          <w:rFonts w:asciiTheme="majorBidi" w:hAnsiTheme="majorBidi" w:cstheme="majorBidi"/>
          <w:u w:val="single"/>
        </w:rPr>
      </w:pPr>
      <w:r w:rsidRPr="00F8633D">
        <w:rPr>
          <w:rFonts w:asciiTheme="majorBidi" w:hAnsiTheme="majorBidi" w:cstheme="majorBidi"/>
          <w:u w:val="single"/>
        </w:rPr>
        <w:lastRenderedPageBreak/>
        <w:t>2. Catalogue de formations et validation des formations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 xml:space="preserve">Les formations proposées par l'université de Nanterre ne sont pas les seules donnant droit aux crédits à valider en fin de thèse, vous pouvez vous inscrire aux formations proposées sur </w:t>
      </w:r>
      <w:proofErr w:type="spellStart"/>
      <w:r w:rsidRPr="00D546FD">
        <w:rPr>
          <w:rFonts w:asciiTheme="majorBidi" w:hAnsiTheme="majorBidi" w:cstheme="majorBidi"/>
          <w:color w:val="000000"/>
        </w:rPr>
        <w:t>Adum</w:t>
      </w:r>
      <w:proofErr w:type="spellEnd"/>
      <w:r w:rsidRPr="00D546FD">
        <w:rPr>
          <w:rFonts w:asciiTheme="majorBidi" w:hAnsiTheme="majorBidi" w:cstheme="majorBidi"/>
          <w:color w:val="000000"/>
        </w:rPr>
        <w:t>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La validation des crédits de chaque séminaire ou formation se fait par la signature d'une fiche que peut signer soit votre directeur de thèse, soit le responsable de la formation. </w:t>
      </w:r>
      <w:hyperlink r:id="rId16" w:tgtFrame="_blank" w:history="1">
        <w:r w:rsidRPr="00D546FD">
          <w:rPr>
            <w:rFonts w:asciiTheme="majorBidi" w:hAnsiTheme="majorBidi" w:cstheme="majorBidi"/>
            <w:color w:val="0000FF"/>
            <w:u w:val="single"/>
          </w:rPr>
          <w:t>https://ed-etc.parisnanterre.fr/doctorants/formation-doctorale/validation-credits-/ed-395-validation-credits-614309.kjsp</w:t>
        </w:r>
      </w:hyperlink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F8633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 xml:space="preserve">Comme les formations de Nanterre sont limitées et ne répondent pas entièrement aux attentes des doctorants, </w:t>
      </w:r>
    </w:p>
    <w:p w:rsidR="00D546FD" w:rsidRPr="00D546FD" w:rsidRDefault="00D546FD" w:rsidP="00F8633D">
      <w:pPr>
        <w:jc w:val="center"/>
        <w:rPr>
          <w:rFonts w:asciiTheme="majorBidi" w:hAnsiTheme="majorBidi" w:cstheme="majorBidi"/>
          <w:color w:val="000000"/>
        </w:rPr>
      </w:pPr>
      <w:proofErr w:type="gramStart"/>
      <w:r w:rsidRPr="00D546FD">
        <w:rPr>
          <w:rFonts w:asciiTheme="majorBidi" w:hAnsiTheme="majorBidi" w:cstheme="majorBidi"/>
          <w:color w:val="000000"/>
        </w:rPr>
        <w:t>nous</w:t>
      </w:r>
      <w:proofErr w:type="gramEnd"/>
      <w:r w:rsidRPr="00D546FD">
        <w:rPr>
          <w:rFonts w:asciiTheme="majorBidi" w:hAnsiTheme="majorBidi" w:cstheme="majorBidi"/>
          <w:color w:val="000000"/>
        </w:rPr>
        <w:t xml:space="preserve"> vous proposons de faire part de vos besoins en formation via </w:t>
      </w:r>
      <w:r w:rsidR="00F8633D">
        <w:rPr>
          <w:rFonts w:asciiTheme="majorBidi" w:hAnsiTheme="majorBidi" w:cstheme="majorBidi"/>
          <w:color w:val="000000"/>
        </w:rPr>
        <w:t>ce</w:t>
      </w:r>
      <w:r w:rsidRPr="00D546FD">
        <w:rPr>
          <w:rFonts w:asciiTheme="majorBidi" w:hAnsiTheme="majorBidi" w:cstheme="majorBidi"/>
          <w:color w:val="000000"/>
        </w:rPr>
        <w:t xml:space="preserve"> Google Doc </w:t>
      </w:r>
      <w:hyperlink r:id="rId17" w:tgtFrame="_blank" w:history="1">
        <w:r w:rsidRPr="00D546FD">
          <w:rPr>
            <w:rFonts w:asciiTheme="majorBidi" w:hAnsiTheme="majorBidi" w:cstheme="majorBidi"/>
            <w:color w:val="0000FF"/>
            <w:u w:val="single"/>
          </w:rPr>
          <w:t>https://semestriel.framapad.org/p/formationsed-9k70?lang=fr</w:t>
        </w:r>
      </w:hyperlink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F8633D" w:rsidRDefault="00D546FD" w:rsidP="00D546FD">
      <w:pPr>
        <w:jc w:val="both"/>
        <w:rPr>
          <w:rFonts w:asciiTheme="majorBidi" w:hAnsiTheme="majorBidi" w:cstheme="majorBidi"/>
          <w:color w:val="000000"/>
          <w:u w:val="single"/>
        </w:rPr>
      </w:pPr>
      <w:r w:rsidRPr="00F8633D">
        <w:rPr>
          <w:rFonts w:asciiTheme="majorBidi" w:hAnsiTheme="majorBidi" w:cstheme="majorBidi"/>
          <w:color w:val="000000"/>
          <w:u w:val="single"/>
        </w:rPr>
        <w:t>3. Site Mosaïques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Longtemps sans accès, le site de l'équipe Mosaïques fonctionne à nouveau. </w:t>
      </w:r>
      <w:hyperlink r:id="rId18" w:history="1">
        <w:r w:rsidR="00F8633D" w:rsidRPr="00B1125E">
          <w:rPr>
            <w:rStyle w:val="Lienhypertexte"/>
            <w:rFonts w:asciiTheme="majorBidi" w:hAnsiTheme="majorBidi" w:cstheme="majorBidi"/>
          </w:rPr>
          <w:t>http://laboratoire-mosaiques.fr/</w:t>
        </w:r>
      </w:hyperlink>
      <w:r w:rsidR="00F8633D">
        <w:rPr>
          <w:rFonts w:asciiTheme="majorBidi" w:hAnsiTheme="majorBidi" w:cstheme="majorBidi"/>
          <w:color w:val="000000"/>
        </w:rPr>
        <w:t xml:space="preserve"> </w:t>
      </w:r>
    </w:p>
    <w:p w:rsidR="00F8633D" w:rsidRDefault="00F8633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L</w:t>
      </w:r>
      <w:r w:rsidR="00F8633D">
        <w:rPr>
          <w:rFonts w:asciiTheme="majorBidi" w:hAnsiTheme="majorBidi" w:cstheme="majorBidi"/>
          <w:color w:val="000000"/>
        </w:rPr>
        <w:t>é</w:t>
      </w:r>
      <w:r w:rsidRPr="00D546FD">
        <w:rPr>
          <w:rFonts w:asciiTheme="majorBidi" w:hAnsiTheme="majorBidi" w:cstheme="majorBidi"/>
          <w:color w:val="000000"/>
        </w:rPr>
        <w:t xml:space="preserve">a </w:t>
      </w:r>
      <w:proofErr w:type="spellStart"/>
      <w:r w:rsidRPr="00D546FD">
        <w:rPr>
          <w:rFonts w:asciiTheme="majorBidi" w:hAnsiTheme="majorBidi" w:cstheme="majorBidi"/>
          <w:color w:val="000000"/>
        </w:rPr>
        <w:t>Billen</w:t>
      </w:r>
      <w:proofErr w:type="spellEnd"/>
      <w:r w:rsidRPr="00D546FD">
        <w:rPr>
          <w:rFonts w:asciiTheme="majorBidi" w:hAnsiTheme="majorBidi" w:cstheme="majorBidi"/>
          <w:color w:val="000000"/>
        </w:rPr>
        <w:t xml:space="preserve"> et </w:t>
      </w:r>
      <w:r w:rsidR="00F8633D">
        <w:rPr>
          <w:rFonts w:asciiTheme="majorBidi" w:hAnsiTheme="majorBidi" w:cstheme="majorBidi"/>
          <w:color w:val="000000"/>
        </w:rPr>
        <w:t xml:space="preserve">Nicolas </w:t>
      </w:r>
      <w:proofErr w:type="spellStart"/>
      <w:r w:rsidR="00F8633D">
        <w:rPr>
          <w:rFonts w:asciiTheme="majorBidi" w:hAnsiTheme="majorBidi" w:cstheme="majorBidi"/>
          <w:color w:val="000000"/>
        </w:rPr>
        <w:t>Verhaeghe</w:t>
      </w:r>
      <w:proofErr w:type="spellEnd"/>
      <w:r w:rsidRPr="00D546FD">
        <w:rPr>
          <w:rFonts w:asciiTheme="majorBidi" w:hAnsiTheme="majorBidi" w:cstheme="majorBidi"/>
          <w:color w:val="000000"/>
        </w:rPr>
        <w:t xml:space="preserve"> </w:t>
      </w:r>
      <w:r w:rsidR="00F8633D">
        <w:rPr>
          <w:rFonts w:asciiTheme="majorBidi" w:hAnsiTheme="majorBidi" w:cstheme="majorBidi"/>
          <w:color w:val="000000"/>
        </w:rPr>
        <w:t xml:space="preserve">se </w:t>
      </w:r>
      <w:proofErr w:type="spellStart"/>
      <w:r w:rsidR="00F8633D">
        <w:rPr>
          <w:rFonts w:asciiTheme="majorBidi" w:hAnsiTheme="majorBidi" w:cstheme="majorBidi"/>
          <w:color w:val="000000"/>
        </w:rPr>
        <w:t>chargent</w:t>
      </w:r>
      <w:r w:rsidRPr="00D546FD">
        <w:rPr>
          <w:rFonts w:asciiTheme="majorBidi" w:hAnsiTheme="majorBidi" w:cstheme="majorBidi"/>
          <w:color w:val="000000"/>
        </w:rPr>
        <w:t xml:space="preserve"> </w:t>
      </w:r>
      <w:proofErr w:type="spellEnd"/>
      <w:r w:rsidRPr="00D546FD">
        <w:rPr>
          <w:rFonts w:asciiTheme="majorBidi" w:hAnsiTheme="majorBidi" w:cstheme="majorBidi"/>
          <w:color w:val="000000"/>
        </w:rPr>
        <w:t>de l'alimenter et nous pourrons mettre en ligne les annonces des futurs séminaires doctoraux et archiver les documents des séminaires passés (</w:t>
      </w:r>
      <w:proofErr w:type="spellStart"/>
      <w:r w:rsidRPr="00D546FD">
        <w:rPr>
          <w:rFonts w:asciiTheme="majorBidi" w:hAnsiTheme="majorBidi" w:cstheme="majorBidi"/>
          <w:color w:val="000000"/>
        </w:rPr>
        <w:t>bilbio</w:t>
      </w:r>
      <w:proofErr w:type="spellEnd"/>
      <w:r w:rsidRPr="00D546FD">
        <w:rPr>
          <w:rFonts w:asciiTheme="majorBidi" w:hAnsiTheme="majorBidi" w:cstheme="majorBidi"/>
          <w:color w:val="000000"/>
        </w:rPr>
        <w:t xml:space="preserve"> ou présentations).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 xml:space="preserve">Le site dispose d'une page </w:t>
      </w:r>
      <w:proofErr w:type="spellStart"/>
      <w:r w:rsidRPr="00D546FD">
        <w:rPr>
          <w:rFonts w:asciiTheme="majorBidi" w:hAnsiTheme="majorBidi" w:cstheme="majorBidi"/>
          <w:color w:val="000000"/>
        </w:rPr>
        <w:t>Equipe</w:t>
      </w:r>
      <w:proofErr w:type="spellEnd"/>
      <w:r w:rsidRPr="00D546FD">
        <w:rPr>
          <w:rFonts w:asciiTheme="majorBidi" w:hAnsiTheme="majorBidi" w:cstheme="majorBidi"/>
          <w:color w:val="000000"/>
        </w:rPr>
        <w:t xml:space="preserve"> présentant la liste des chercheurs et doctorants associés à l'équipe (pas à jour). Si vous souhaitez créer ou mettre à jour une page personnelle, nous vous proposons de nous adresser un document Word suivant la structure de la fiche de </w:t>
      </w:r>
      <w:proofErr w:type="spellStart"/>
      <w:r w:rsidRPr="00D546FD">
        <w:rPr>
          <w:rFonts w:asciiTheme="majorBidi" w:hAnsiTheme="majorBidi" w:cstheme="majorBidi"/>
          <w:color w:val="000000"/>
        </w:rPr>
        <w:t>Loréna</w:t>
      </w:r>
      <w:proofErr w:type="spellEnd"/>
      <w:r w:rsidRPr="00D546FD">
        <w:rPr>
          <w:rFonts w:asciiTheme="majorBidi" w:hAnsiTheme="majorBidi" w:cstheme="majorBidi"/>
          <w:color w:val="000000"/>
        </w:rPr>
        <w:t xml:space="preserve"> Clément pour faciliter la mise en ligne.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    =&gt; Vous pouvez nous les adresser à </w:t>
      </w:r>
      <w:hyperlink r:id="rId19" w:history="1">
        <w:r w:rsidRPr="00D546FD">
          <w:rPr>
            <w:rFonts w:asciiTheme="majorBidi" w:hAnsiTheme="majorBidi" w:cstheme="majorBidi"/>
            <w:color w:val="0000FF"/>
            <w:u w:val="single"/>
          </w:rPr>
          <w:t>nico.verag@yahoo.fr</w:t>
        </w:r>
      </w:hyperlink>
      <w:r w:rsidRPr="00D546FD">
        <w:rPr>
          <w:rFonts w:asciiTheme="majorBidi" w:hAnsiTheme="majorBidi" w:cstheme="majorBidi"/>
          <w:color w:val="000000"/>
        </w:rPr>
        <w:t> et </w:t>
      </w:r>
      <w:hyperlink r:id="rId20" w:history="1">
        <w:r w:rsidRPr="00D546FD">
          <w:rPr>
            <w:rFonts w:asciiTheme="majorBidi" w:hAnsiTheme="majorBidi" w:cstheme="majorBidi"/>
            <w:color w:val="0000FF"/>
            <w:u w:val="single"/>
          </w:rPr>
          <w:t>lea.billen@parisnanterre.fr</w:t>
        </w:r>
      </w:hyperlink>
      <w:r w:rsidRPr="00D546FD">
        <w:rPr>
          <w:rFonts w:asciiTheme="majorBidi" w:hAnsiTheme="majorBidi" w:cstheme="majorBidi"/>
          <w:color w:val="000000"/>
        </w:rPr>
        <w:t>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4. Prochains séminaires</w:t>
      </w:r>
    </w:p>
    <w:p w:rsid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Le prochain séminaire se tiendra le 18 décembre et portera sur les inégalités.</w:t>
      </w:r>
    </w:p>
    <w:p w:rsidR="0064059B" w:rsidRPr="00D546FD" w:rsidRDefault="0064059B" w:rsidP="00D546FD">
      <w:pPr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Un groupe de travail est en train de se constituer autour de cette thématique, les doctorants intéressés pour y participer peuvent écrire à </w:t>
      </w:r>
      <w:hyperlink r:id="rId21" w:history="1">
        <w:r w:rsidRPr="00D1328B">
          <w:rPr>
            <w:rStyle w:val="Lienhypertexte"/>
            <w:rFonts w:asciiTheme="majorBidi" w:hAnsiTheme="majorBidi" w:cstheme="majorBidi"/>
          </w:rPr>
          <w:t>manon.troux@orange.fr</w:t>
        </w:r>
      </w:hyperlink>
      <w:r>
        <w:rPr>
          <w:rFonts w:asciiTheme="majorBidi" w:hAnsiTheme="majorBidi" w:cstheme="majorBidi"/>
          <w:color w:val="000000"/>
        </w:rPr>
        <w:t xml:space="preserve"> .</w:t>
      </w:r>
    </w:p>
    <w:p w:rsidR="0064059B" w:rsidRDefault="0064059B" w:rsidP="00D546FD">
      <w:pPr>
        <w:jc w:val="both"/>
        <w:rPr>
          <w:rFonts w:asciiTheme="majorBidi" w:hAnsiTheme="majorBidi" w:cstheme="majorBidi"/>
          <w:color w:val="000000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  <w:color w:val="000000"/>
        </w:rPr>
      </w:pPr>
      <w:r w:rsidRPr="00D546FD">
        <w:rPr>
          <w:rFonts w:asciiTheme="majorBidi" w:hAnsiTheme="majorBidi" w:cstheme="majorBidi"/>
          <w:color w:val="000000"/>
        </w:rPr>
        <w:t>Ci-joint l'affiche du programme des séminaires pour l'année 2020-21.</w:t>
      </w: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</w:p>
    <w:p w:rsidR="00D546FD" w:rsidRPr="00D546FD" w:rsidRDefault="00D546FD" w:rsidP="00D546FD">
      <w:pPr>
        <w:jc w:val="both"/>
        <w:rPr>
          <w:rFonts w:asciiTheme="majorBidi" w:hAnsiTheme="majorBidi" w:cstheme="majorBidi"/>
        </w:rPr>
      </w:pPr>
    </w:p>
    <w:sectPr w:rsidR="00D546FD" w:rsidRPr="00D546FD" w:rsidSect="008C7EB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1FF5"/>
    <w:multiLevelType w:val="hybridMultilevel"/>
    <w:tmpl w:val="46FA721E"/>
    <w:lvl w:ilvl="0" w:tplc="8BDC09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7BDC"/>
    <w:multiLevelType w:val="hybridMultilevel"/>
    <w:tmpl w:val="D09469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7A35"/>
    <w:multiLevelType w:val="hybridMultilevel"/>
    <w:tmpl w:val="DB10873A"/>
    <w:lvl w:ilvl="0" w:tplc="57E2E7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200E"/>
    <w:multiLevelType w:val="hybridMultilevel"/>
    <w:tmpl w:val="7214D024"/>
    <w:lvl w:ilvl="0" w:tplc="3208C6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3"/>
    <w:rsid w:val="00015D21"/>
    <w:rsid w:val="000D16D8"/>
    <w:rsid w:val="00176F2C"/>
    <w:rsid w:val="0044119E"/>
    <w:rsid w:val="005A24AC"/>
    <w:rsid w:val="005E7C7E"/>
    <w:rsid w:val="0064059B"/>
    <w:rsid w:val="00645CA3"/>
    <w:rsid w:val="006C0FE1"/>
    <w:rsid w:val="006D52A2"/>
    <w:rsid w:val="007E19CB"/>
    <w:rsid w:val="007F6CE3"/>
    <w:rsid w:val="008C7EBF"/>
    <w:rsid w:val="00D546FD"/>
    <w:rsid w:val="00F8633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A3468"/>
  <w15:chartTrackingRefBased/>
  <w15:docId w15:val="{97B2E5B3-3E3D-2F45-99E1-A523689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3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546FD"/>
  </w:style>
  <w:style w:type="character" w:styleId="Lienhypertexte">
    <w:name w:val="Hyperlink"/>
    <w:basedOn w:val="Policepardfaut"/>
    <w:uiPriority w:val="99"/>
    <w:unhideWhenUsed/>
    <w:rsid w:val="00D546FD"/>
    <w:rPr>
      <w:color w:val="0000FF"/>
      <w:u w:val="single"/>
    </w:rPr>
  </w:style>
  <w:style w:type="character" w:customStyle="1" w:styleId="ydp98227dcdpasted-link">
    <w:name w:val="ydp98227dcdpasted-link"/>
    <w:basedOn w:val="Policepardfaut"/>
    <w:rsid w:val="00D546FD"/>
  </w:style>
  <w:style w:type="paragraph" w:styleId="Paragraphedeliste">
    <w:name w:val="List Paragraph"/>
    <w:basedOn w:val="Normal"/>
    <w:uiPriority w:val="34"/>
    <w:qFormat/>
    <w:rsid w:val="00D546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546FD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8633D"/>
    <w:rPr>
      <w:i/>
      <w:iCs/>
    </w:rPr>
  </w:style>
  <w:style w:type="character" w:customStyle="1" w:styleId="uppercase">
    <w:name w:val="uppercase"/>
    <w:basedOn w:val="Policepardfaut"/>
    <w:rsid w:val="00F8633D"/>
  </w:style>
  <w:style w:type="character" w:customStyle="1" w:styleId="petitecap">
    <w:name w:val="petitecap"/>
    <w:basedOn w:val="Policepardfaut"/>
    <w:rsid w:val="00F8633D"/>
  </w:style>
  <w:style w:type="character" w:styleId="Lienhypertextesuivivisit">
    <w:name w:val="FollowedHyperlink"/>
    <w:basedOn w:val="Policepardfaut"/>
    <w:uiPriority w:val="99"/>
    <w:semiHidden/>
    <w:unhideWhenUsed/>
    <w:rsid w:val="00F86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1488930_En_lisant_en_ecrivant_ou_comment_le_sens_et_les_sens_coexistent_chez_Julien_GRACQ" TargetMode="External"/><Relationship Id="rId13" Type="http://schemas.openxmlformats.org/officeDocument/2006/relationships/hyperlink" Target="https://www.grandlabo.com/rediger-sa-these-en-confinement-tips-outils-methodes/" TargetMode="External"/><Relationship Id="rId18" Type="http://schemas.openxmlformats.org/officeDocument/2006/relationships/hyperlink" Target="http://laboratoire-mosaiques.f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non.troux@orange.fr" TargetMode="External"/><Relationship Id="rId7" Type="http://schemas.openxmlformats.org/officeDocument/2006/relationships/hyperlink" Target="https://biospraktikos.hypotheses.org/3036" TargetMode="External"/><Relationship Id="rId12" Type="http://schemas.openxmlformats.org/officeDocument/2006/relationships/hyperlink" Target="https://www.grandlabo.com/" TargetMode="External"/><Relationship Id="rId17" Type="http://schemas.openxmlformats.org/officeDocument/2006/relationships/hyperlink" Target="https://semestriel.framapad.org/p/formationsed-9k70?lang=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-etc.parisnanterre.fr/doctorants/formation-doctorale/validation-credits-/ed-395-validation-credits-614309.kjsp" TargetMode="External"/><Relationship Id="rId20" Type="http://schemas.openxmlformats.org/officeDocument/2006/relationships/hyperlink" Target="mailto:lea.billen@parisnanterre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s.openedition.org/vertigo/5402?lang=en" TargetMode="External"/><Relationship Id="rId11" Type="http://schemas.openxmlformats.org/officeDocument/2006/relationships/hyperlink" Target="https://www.thesez-vous.com" TargetMode="External"/><Relationship Id="rId5" Type="http://schemas.openxmlformats.org/officeDocument/2006/relationships/hyperlink" Target="https://www.pantheonsorbonne.fr/IMG/pdf/Communication_Angel-Samson.pdf" TargetMode="External"/><Relationship Id="rId15" Type="http://schemas.openxmlformats.org/officeDocument/2006/relationships/hyperlink" Target="https://journals.openedition.org/articulo/24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t.hypotheses.org/" TargetMode="External"/><Relationship Id="rId19" Type="http://schemas.openxmlformats.org/officeDocument/2006/relationships/hyperlink" Target="mailto:nico.verag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7/gen.065.0112" TargetMode="External"/><Relationship Id="rId14" Type="http://schemas.openxmlformats.org/officeDocument/2006/relationships/hyperlink" Target="https://journals.openedition.org/lectures/197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Marelli</cp:lastModifiedBy>
  <cp:revision>2</cp:revision>
  <dcterms:created xsi:type="dcterms:W3CDTF">2020-11-20T16:07:00Z</dcterms:created>
  <dcterms:modified xsi:type="dcterms:W3CDTF">2020-11-20T16:07:00Z</dcterms:modified>
</cp:coreProperties>
</file>